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5635B" w14:textId="77777777" w:rsidR="004678D2" w:rsidRDefault="004678D2" w:rsidP="007B294D">
      <w:pPr>
        <w:jc w:val="center"/>
        <w:rPr>
          <w:rFonts w:ascii="Arial" w:hAnsi="Arial" w:cs="Arial"/>
        </w:rPr>
      </w:pPr>
    </w:p>
    <w:p w14:paraId="49216FB4" w14:textId="77777777" w:rsidR="00F563FC" w:rsidRPr="00667900" w:rsidRDefault="00AD335B" w:rsidP="00AD335B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Education </w:t>
      </w:r>
      <w:r w:rsidR="003A47A2">
        <w:rPr>
          <w:rFonts w:asciiTheme="minorHAnsi" w:hAnsiTheme="minorHAnsi" w:cs="Arial"/>
          <w:sz w:val="28"/>
          <w:szCs w:val="28"/>
        </w:rPr>
        <w:t xml:space="preserve">Policy </w:t>
      </w:r>
      <w:r>
        <w:rPr>
          <w:rFonts w:asciiTheme="minorHAnsi" w:hAnsiTheme="minorHAnsi" w:cs="Arial"/>
          <w:sz w:val="28"/>
          <w:szCs w:val="28"/>
        </w:rPr>
        <w:t>Committee Meeting Minutes</w:t>
      </w:r>
      <w:r w:rsidR="00472F4C">
        <w:rPr>
          <w:rFonts w:asciiTheme="minorHAnsi" w:hAnsiTheme="minorHAnsi" w:cs="Arial"/>
          <w:sz w:val="28"/>
          <w:szCs w:val="28"/>
        </w:rPr>
        <w:t xml:space="preserve"> </w:t>
      </w:r>
    </w:p>
    <w:p w14:paraId="22C71779" w14:textId="7A216097" w:rsidR="00506C33" w:rsidRPr="00667900" w:rsidRDefault="008D56C4" w:rsidP="007B294D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DATE____</w:t>
      </w:r>
      <w:r w:rsidR="00783DAF">
        <w:rPr>
          <w:rFonts w:asciiTheme="minorHAnsi" w:hAnsiTheme="minorHAnsi" w:cs="Arial"/>
          <w:sz w:val="28"/>
          <w:szCs w:val="28"/>
        </w:rPr>
        <w:t>9/7/2018</w:t>
      </w:r>
      <w:r>
        <w:rPr>
          <w:rFonts w:asciiTheme="minorHAnsi" w:hAnsiTheme="minorHAnsi" w:cs="Arial"/>
          <w:sz w:val="28"/>
          <w:szCs w:val="28"/>
        </w:rPr>
        <w:t>___________</w:t>
      </w:r>
    </w:p>
    <w:p w14:paraId="4ADC3095" w14:textId="77777777" w:rsidR="00711B60" w:rsidRPr="00DB1F95" w:rsidRDefault="00DF6642" w:rsidP="00DB1F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C40A3BC" w14:textId="77D2E3DD" w:rsidR="002F11F6" w:rsidRPr="008D56C4" w:rsidRDefault="00E96B53" w:rsidP="00B66560">
      <w:pPr>
        <w:tabs>
          <w:tab w:val="left" w:pos="1800"/>
        </w:tabs>
        <w:ind w:left="-180"/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Members</w:t>
      </w:r>
      <w:r w:rsidR="00D44E9E" w:rsidRPr="008D56C4">
        <w:rPr>
          <w:rFonts w:ascii="Calibri" w:hAnsi="Calibri" w:cs="Arial"/>
          <w:sz w:val="22"/>
          <w:szCs w:val="22"/>
        </w:rPr>
        <w:t xml:space="preserve">: </w:t>
      </w:r>
      <w:r w:rsidR="0045318E">
        <w:rPr>
          <w:rFonts w:ascii="Calibri" w:hAnsi="Calibri" w:cs="Arial"/>
          <w:sz w:val="22"/>
          <w:szCs w:val="22"/>
        </w:rPr>
        <w:t xml:space="preserve">Timothy </w:t>
      </w:r>
      <w:proofErr w:type="spellStart"/>
      <w:r w:rsidR="0045318E">
        <w:rPr>
          <w:rFonts w:ascii="Calibri" w:hAnsi="Calibri" w:cs="Arial"/>
          <w:sz w:val="22"/>
          <w:szCs w:val="22"/>
        </w:rPr>
        <w:t>Del</w:t>
      </w:r>
      <w:r w:rsidR="008D56C4" w:rsidRPr="008D56C4">
        <w:rPr>
          <w:rFonts w:ascii="Calibri" w:hAnsi="Calibri" w:cs="Arial"/>
          <w:sz w:val="22"/>
          <w:szCs w:val="22"/>
        </w:rPr>
        <w:t>aune</w:t>
      </w:r>
      <w:proofErr w:type="spellEnd"/>
      <w:r w:rsidR="008D56C4" w:rsidRPr="008D56C4"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>Re</w:t>
      </w:r>
      <w:r w:rsidR="005F7DAC">
        <w:rPr>
          <w:rFonts w:ascii="Calibri" w:hAnsi="Calibri" w:cs="Arial"/>
          <w:sz w:val="22"/>
          <w:szCs w:val="22"/>
        </w:rPr>
        <w:t xml:space="preserve">gina Grantham, </w:t>
      </w:r>
      <w:r>
        <w:rPr>
          <w:rFonts w:ascii="Calibri" w:hAnsi="Calibri" w:cs="Arial"/>
          <w:sz w:val="22"/>
          <w:szCs w:val="22"/>
        </w:rPr>
        <w:t>Holly Doty</w:t>
      </w:r>
      <w:r w:rsidR="001914D8">
        <w:rPr>
          <w:rFonts w:ascii="Calibri" w:hAnsi="Calibri" w:cs="Calibri"/>
          <w:sz w:val="22"/>
          <w:szCs w:val="22"/>
        </w:rPr>
        <w:t>, Maaike Oldemans,</w:t>
      </w:r>
      <w:r w:rsidR="008D56C4" w:rsidRPr="008D56C4">
        <w:rPr>
          <w:rFonts w:ascii="Calibri" w:hAnsi="Calibri" w:cs="Calibri"/>
          <w:sz w:val="22"/>
          <w:szCs w:val="22"/>
        </w:rPr>
        <w:t xml:space="preserve"> </w:t>
      </w:r>
      <w:r w:rsidR="008D56C4" w:rsidRPr="008D56C4">
        <w:rPr>
          <w:rFonts w:ascii="Calibri" w:hAnsi="Calibri" w:cs="Arial"/>
          <w:sz w:val="22"/>
          <w:szCs w:val="22"/>
        </w:rPr>
        <w:t xml:space="preserve">Abby Thomas, </w:t>
      </w:r>
      <w:r w:rsidR="008D56C4" w:rsidRPr="008D56C4">
        <w:rPr>
          <w:rFonts w:ascii="Calibri" w:hAnsi="Calibri" w:cs="Calibri"/>
          <w:sz w:val="22"/>
          <w:szCs w:val="22"/>
        </w:rPr>
        <w:t xml:space="preserve">Carol </w:t>
      </w:r>
      <w:proofErr w:type="spellStart"/>
      <w:r w:rsidR="008D56C4" w:rsidRPr="008D56C4">
        <w:rPr>
          <w:rFonts w:ascii="Calibri" w:hAnsi="Calibri" w:cs="Calibri"/>
          <w:sz w:val="22"/>
          <w:szCs w:val="22"/>
        </w:rPr>
        <w:t>Va</w:t>
      </w:r>
      <w:r w:rsidR="002F256B">
        <w:rPr>
          <w:rFonts w:ascii="Calibri" w:hAnsi="Calibri" w:cs="Calibri"/>
          <w:sz w:val="22"/>
          <w:szCs w:val="22"/>
        </w:rPr>
        <w:t>n</w:t>
      </w:r>
      <w:r w:rsidR="005F7DAC">
        <w:rPr>
          <w:rFonts w:ascii="Calibri" w:hAnsi="Calibri" w:cs="Calibri"/>
          <w:sz w:val="22"/>
          <w:szCs w:val="22"/>
        </w:rPr>
        <w:t>DerKarr</w:t>
      </w:r>
      <w:proofErr w:type="spellEnd"/>
      <w:r w:rsidR="005F7DAC">
        <w:rPr>
          <w:rFonts w:ascii="Calibri" w:hAnsi="Calibri" w:cs="Calibri"/>
          <w:sz w:val="22"/>
          <w:szCs w:val="22"/>
        </w:rPr>
        <w:t xml:space="preserve">, </w:t>
      </w:r>
      <w:r w:rsidR="008D56C4" w:rsidRPr="008D56C4">
        <w:rPr>
          <w:rFonts w:ascii="Calibri" w:hAnsi="Calibri" w:cs="Calibri"/>
          <w:sz w:val="22"/>
          <w:szCs w:val="22"/>
        </w:rPr>
        <w:t xml:space="preserve">Chris </w:t>
      </w:r>
      <w:proofErr w:type="spellStart"/>
      <w:r w:rsidR="008D56C4" w:rsidRPr="008D56C4">
        <w:rPr>
          <w:rFonts w:ascii="Calibri" w:hAnsi="Calibri" w:cs="Calibri"/>
          <w:sz w:val="22"/>
          <w:szCs w:val="22"/>
        </w:rPr>
        <w:t>Widdall</w:t>
      </w:r>
      <w:proofErr w:type="spellEnd"/>
      <w:r w:rsidR="008D56C4" w:rsidRPr="008D56C4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56D65ACE" w14:textId="2750C0B4" w:rsidR="002419CB" w:rsidRPr="008D56C4" w:rsidRDefault="001914D8" w:rsidP="00B66560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Andrew </w:t>
      </w:r>
      <w:proofErr w:type="spellStart"/>
      <w:r>
        <w:rPr>
          <w:rFonts w:ascii="Calibri" w:hAnsi="Calibri" w:cs="Arial"/>
          <w:sz w:val="22"/>
          <w:szCs w:val="22"/>
        </w:rPr>
        <w:t>Purrington</w:t>
      </w:r>
      <w:proofErr w:type="spellEnd"/>
    </w:p>
    <w:p w14:paraId="7866863F" w14:textId="77777777" w:rsidR="003B03C3" w:rsidRPr="003B03C3" w:rsidRDefault="003B03C3" w:rsidP="00B66560">
      <w:pPr>
        <w:tabs>
          <w:tab w:val="left" w:pos="1800"/>
        </w:tabs>
        <w:ind w:left="-180"/>
        <w:rPr>
          <w:rFonts w:ascii="Calibri" w:hAnsi="Calibri" w:cs="Arial"/>
          <w:sz w:val="12"/>
          <w:szCs w:val="12"/>
          <w:u w:val="single"/>
        </w:rPr>
      </w:pPr>
    </w:p>
    <w:p w14:paraId="103910EE" w14:textId="0A1CB2C4" w:rsidR="00E57F3A" w:rsidRPr="004678D2" w:rsidRDefault="00C20440" w:rsidP="00B66560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Members Absent</w:t>
      </w:r>
      <w:r w:rsidR="00783DAF">
        <w:rPr>
          <w:rFonts w:ascii="Calibri" w:hAnsi="Calibri" w:cs="Arial"/>
          <w:sz w:val="22"/>
          <w:szCs w:val="22"/>
          <w:u w:val="single"/>
        </w:rPr>
        <w:t>:</w:t>
      </w:r>
      <w:r w:rsidR="00783DAF">
        <w:rPr>
          <w:rFonts w:ascii="Calibri" w:hAnsi="Calibri" w:cs="Arial"/>
          <w:sz w:val="22"/>
          <w:szCs w:val="22"/>
        </w:rPr>
        <w:t xml:space="preserve"> </w:t>
      </w:r>
      <w:r w:rsidR="00783DAF" w:rsidRPr="008D56C4">
        <w:rPr>
          <w:rFonts w:ascii="Calibri" w:hAnsi="Calibri" w:cs="Arial"/>
          <w:sz w:val="22"/>
          <w:szCs w:val="22"/>
        </w:rPr>
        <w:t>Mary-Jo Morse</w:t>
      </w:r>
      <w:r w:rsidR="00783DAF">
        <w:rPr>
          <w:rFonts w:ascii="Calibri" w:hAnsi="Calibri" w:cs="Arial"/>
          <w:sz w:val="22"/>
          <w:szCs w:val="22"/>
        </w:rPr>
        <w:t>. Tara Mahoney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3462"/>
        <w:gridCol w:w="6681"/>
        <w:gridCol w:w="3921"/>
      </w:tblGrid>
      <w:tr w:rsidR="002C242C" w:rsidRPr="00783B86" w14:paraId="12B850F6" w14:textId="77777777" w:rsidTr="00A1655B">
        <w:trPr>
          <w:trHeight w:val="430"/>
        </w:trPr>
        <w:tc>
          <w:tcPr>
            <w:tcW w:w="34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784B3F9E" w14:textId="77777777" w:rsidR="0073369C" w:rsidRPr="00AD335B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668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79D48356" w14:textId="77777777" w:rsidR="0073369C" w:rsidRPr="00AD335B" w:rsidRDefault="0073369C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Comments</w:t>
            </w:r>
            <w:r w:rsidR="005F5684">
              <w:rPr>
                <w:rFonts w:asciiTheme="minorHAnsi" w:hAnsiTheme="minorHAnsi" w:cstheme="minorHAnsi"/>
                <w:b/>
                <w:bCs/>
                <w:color w:val="FFFFFF"/>
              </w:rPr>
              <w:t>/Discussion</w:t>
            </w:r>
          </w:p>
        </w:tc>
        <w:tc>
          <w:tcPr>
            <w:tcW w:w="392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68BF6CA8" w14:textId="77777777" w:rsidR="0073369C" w:rsidRPr="00AD335B" w:rsidRDefault="00AD4A4B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Action</w:t>
            </w:r>
          </w:p>
        </w:tc>
      </w:tr>
      <w:tr w:rsidR="002C242C" w:rsidRPr="00506C33" w14:paraId="1D28C921" w14:textId="77777777" w:rsidTr="00A1655B">
        <w:trPr>
          <w:trHeight w:val="432"/>
        </w:trPr>
        <w:tc>
          <w:tcPr>
            <w:tcW w:w="3462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4069E5F" w14:textId="77777777" w:rsidR="003B03C3" w:rsidRDefault="000F1F2B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Approval of Minutes</w:t>
            </w:r>
          </w:p>
        </w:tc>
        <w:tc>
          <w:tcPr>
            <w:tcW w:w="6681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CF67468" w14:textId="361AF2C2" w:rsidR="003B03C3" w:rsidRPr="009B42B0" w:rsidRDefault="00783DAF" w:rsidP="009B42B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Accepted unanimously</w:t>
            </w:r>
          </w:p>
        </w:tc>
        <w:tc>
          <w:tcPr>
            <w:tcW w:w="3921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25DCA814" w14:textId="72EB070A" w:rsidR="003B03C3" w:rsidRPr="00506C33" w:rsidRDefault="00783DAF" w:rsidP="002C242C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One change: Abby Thomas </w:t>
            </w:r>
            <w:r w:rsidR="00A16277">
              <w:rPr>
                <w:rFonts w:ascii="Calibri" w:hAnsi="Calibri"/>
                <w:b/>
                <w:sz w:val="22"/>
                <w:szCs w:val="22"/>
              </w:rPr>
              <w:t xml:space="preserve">name needs to migrate from absent to </w:t>
            </w:r>
            <w:r>
              <w:rPr>
                <w:rFonts w:ascii="Calibri" w:hAnsi="Calibri"/>
                <w:b/>
                <w:sz w:val="22"/>
                <w:szCs w:val="22"/>
              </w:rPr>
              <w:t>present</w:t>
            </w:r>
          </w:p>
        </w:tc>
      </w:tr>
      <w:tr w:rsidR="002C242C" w:rsidRPr="00506C33" w14:paraId="5118BCA9" w14:textId="77777777" w:rsidTr="00A1655B">
        <w:trPr>
          <w:trHeight w:val="378"/>
        </w:trPr>
        <w:tc>
          <w:tcPr>
            <w:tcW w:w="346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0B8C3DD" w14:textId="6B6383D2" w:rsidR="00AD335B" w:rsidRDefault="00783DAF" w:rsidP="00AD335B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Introduction to </w:t>
            </w:r>
            <w:r w:rsidR="002C242C">
              <w:rPr>
                <w:rFonts w:ascii="Calibri" w:hAnsi="Calibri"/>
                <w:b/>
                <w:sz w:val="22"/>
                <w:szCs w:val="22"/>
              </w:rPr>
              <w:t>EPC, updates and guidelines</w:t>
            </w:r>
          </w:p>
        </w:tc>
        <w:tc>
          <w:tcPr>
            <w:tcW w:w="668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08EB4A08" w14:textId="3DEF88BA" w:rsidR="00A16277" w:rsidRDefault="00783DAF" w:rsidP="00A16277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A16277">
              <w:rPr>
                <w:rFonts w:ascii="Calibri" w:hAnsi="Calibri"/>
                <w:sz w:val="22"/>
                <w:szCs w:val="22"/>
              </w:rPr>
              <w:t>Widdall</w:t>
            </w:r>
            <w:proofErr w:type="spellEnd"/>
            <w:r w:rsidRPr="00A16277">
              <w:rPr>
                <w:rFonts w:ascii="Calibri" w:hAnsi="Calibri"/>
                <w:sz w:val="22"/>
                <w:szCs w:val="22"/>
              </w:rPr>
              <w:t xml:space="preserve"> provided an overview of the duties of the EPC Committee as described in the College Handbook </w:t>
            </w:r>
            <w:r w:rsidR="00A16277" w:rsidRPr="00A16277">
              <w:rPr>
                <w:rFonts w:ascii="Calibri" w:hAnsi="Calibri"/>
                <w:sz w:val="22"/>
                <w:szCs w:val="22"/>
              </w:rPr>
              <w:t>Part One: University and College Governance; Chapter 150 Cortland Faculty Governance; Article VII Committees:</w:t>
            </w:r>
            <w:r w:rsidR="00A16277">
              <w:t xml:space="preserve"> </w:t>
            </w:r>
            <w:hyperlink r:id="rId7" w:anchor="chapter150" w:history="1">
              <w:r w:rsidR="00A16277" w:rsidRPr="00A16277">
                <w:rPr>
                  <w:rStyle w:val="Hyperlink"/>
                  <w:rFonts w:ascii="Calibri" w:hAnsi="Calibri"/>
                  <w:sz w:val="22"/>
                  <w:szCs w:val="22"/>
                </w:rPr>
                <w:t>http://www2.cortland.edu/offices/publications/handbook/part-one/#chapter150</w:t>
              </w:r>
            </w:hyperlink>
          </w:p>
          <w:p w14:paraId="295D0C0E" w14:textId="29E40FB4" w:rsidR="00A16277" w:rsidRDefault="00A16277" w:rsidP="00A16277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EPC has an opening for a member from the Art &amp; Sciences</w:t>
            </w:r>
          </w:p>
          <w:p w14:paraId="2C19A5DA" w14:textId="4A91B85F" w:rsidR="00A16277" w:rsidRDefault="00A16277" w:rsidP="00A16277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EPC has openings for 2 student members</w:t>
            </w:r>
          </w:p>
          <w:p w14:paraId="535AE43C" w14:textId="50A8E619" w:rsidR="00A16277" w:rsidRDefault="00A16277" w:rsidP="00A16277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Unanimously voting for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Widdall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to continue as EPC Chair 2018-2019</w:t>
            </w:r>
          </w:p>
          <w:p w14:paraId="670D4372" w14:textId="016818E5" w:rsidR="00A16277" w:rsidRDefault="00A16277" w:rsidP="00A16277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EPC members will need to represent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Widdall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when she cannot attend the Faculty Senate meetings</w:t>
            </w:r>
          </w:p>
          <w:p w14:paraId="118FAAEA" w14:textId="0CC73B52" w:rsidR="00A16277" w:rsidRDefault="00A16277" w:rsidP="00A16277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Scheduling minute takers</w:t>
            </w:r>
          </w:p>
          <w:p w14:paraId="523B74CE" w14:textId="7AA2F5E8" w:rsidR="00A16277" w:rsidRDefault="00A16277" w:rsidP="00A16277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Widdall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provided demonstration how to map and access: </w:t>
            </w:r>
            <w:hyperlink r:id="rId8" w:history="1">
              <w:r w:rsidR="002C242C" w:rsidRPr="00E153AC">
                <w:rPr>
                  <w:rStyle w:val="Hyperlink"/>
                  <w:rFonts w:ascii="Calibri" w:hAnsi="Calibri"/>
                  <w:sz w:val="22"/>
                  <w:szCs w:val="22"/>
                </w:rPr>
                <w:t>\\shares\EPC</w:t>
              </w:r>
            </w:hyperlink>
          </w:p>
          <w:p w14:paraId="6C7F92CA" w14:textId="2542032A" w:rsidR="002C242C" w:rsidRDefault="002C242C" w:rsidP="00A16277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Minutes are added to the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Sdrive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a week after the meeting to ensure members will get before the next meeting. </w:t>
            </w:r>
          </w:p>
          <w:p w14:paraId="0D2B44D7" w14:textId="15864012" w:rsidR="002C242C" w:rsidRDefault="002C242C" w:rsidP="00A16277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Minute Template is in the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Sdrive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2018-2019 folder</w:t>
            </w:r>
          </w:p>
          <w:p w14:paraId="161ED27E" w14:textId="659B3763" w:rsidR="002C242C" w:rsidRPr="00A16277" w:rsidRDefault="002C242C" w:rsidP="00A16277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Minutes are uploaded on the Cortland website, are being “censored” before publishing</w:t>
            </w:r>
          </w:p>
          <w:p w14:paraId="3C2893DA" w14:textId="77777777" w:rsidR="00A16277" w:rsidRPr="00A16277" w:rsidRDefault="00A16277" w:rsidP="00A16277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  <w:p w14:paraId="0B3EDD10" w14:textId="5722587B" w:rsidR="009B42B0" w:rsidRPr="00BA1951" w:rsidRDefault="009B42B0" w:rsidP="009B42B0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2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05B3783F" w14:textId="50248B5A" w:rsidR="009B42B0" w:rsidRPr="00506C33" w:rsidRDefault="00A16277" w:rsidP="002C242C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Widdall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will ask Pam to send instructions how to access the EPC files on the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SDrive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2C242C" w:rsidRPr="00506C33" w14:paraId="55F2DF19" w14:textId="77777777" w:rsidTr="00A1655B">
        <w:trPr>
          <w:trHeight w:val="378"/>
        </w:trPr>
        <w:tc>
          <w:tcPr>
            <w:tcW w:w="346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3D0A8CF1" w14:textId="77777777" w:rsidR="009B42B0" w:rsidRDefault="009B42B0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68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58CDC274" w14:textId="77777777" w:rsidR="009B42B0" w:rsidRPr="00BA1951" w:rsidRDefault="009B42B0" w:rsidP="009B42B0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2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68A9D23A" w14:textId="77777777" w:rsidR="009B42B0" w:rsidRPr="00506C33" w:rsidRDefault="009B42B0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C242C" w:rsidRPr="00506C33" w14:paraId="6E504A1A" w14:textId="77777777" w:rsidTr="00A1655B">
        <w:trPr>
          <w:trHeight w:val="378"/>
        </w:trPr>
        <w:tc>
          <w:tcPr>
            <w:tcW w:w="346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6165AEBA" w14:textId="77777777" w:rsidR="00740FE9" w:rsidRPr="000F1F2B" w:rsidRDefault="000F1F2B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 w:rsidRPr="000F1F2B">
              <w:rPr>
                <w:rFonts w:ascii="Calibri" w:hAnsi="Calibri"/>
                <w:b/>
                <w:sz w:val="22"/>
                <w:szCs w:val="22"/>
              </w:rPr>
              <w:lastRenderedPageBreak/>
              <w:t>Old Business</w:t>
            </w:r>
          </w:p>
        </w:tc>
        <w:tc>
          <w:tcPr>
            <w:tcW w:w="668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51A7D98D" w14:textId="04764971" w:rsidR="00CB3EBE" w:rsidRDefault="002C242C" w:rsidP="002C242C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Definition Major GPA: The EPC has been working on clarifying the two different definitions for Major GPA and the Program Standard GPA (See EPC Annual Report 2017-2018). </w:t>
            </w:r>
          </w:p>
          <w:p w14:paraId="4E5A9EB3" w14:textId="6592C346" w:rsidR="002C242C" w:rsidRDefault="002C242C" w:rsidP="002C242C">
            <w:pPr>
              <w:pStyle w:val="ListParagraph"/>
              <w:ind w:left="79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Van Der Karr provided an overview and</w:t>
            </w:r>
            <w:r w:rsidR="00CB62D9">
              <w:rPr>
                <w:rFonts w:ascii="Calibri" w:hAnsi="Calibri"/>
                <w:sz w:val="22"/>
                <w:szCs w:val="22"/>
              </w:rPr>
              <w:t xml:space="preserve"> an</w:t>
            </w:r>
            <w:r>
              <w:rPr>
                <w:rFonts w:ascii="Calibri" w:hAnsi="Calibri"/>
                <w:sz w:val="22"/>
                <w:szCs w:val="22"/>
              </w:rPr>
              <w:t xml:space="preserve"> update about the </w:t>
            </w:r>
            <w:r w:rsidR="00CB62D9">
              <w:rPr>
                <w:rFonts w:ascii="Calibri" w:hAnsi="Calibri"/>
                <w:sz w:val="22"/>
                <w:szCs w:val="22"/>
              </w:rPr>
              <w:t xml:space="preserve">issues surrounding the </w:t>
            </w:r>
            <w:r>
              <w:rPr>
                <w:rFonts w:ascii="Calibri" w:hAnsi="Calibri"/>
                <w:sz w:val="22"/>
                <w:szCs w:val="22"/>
              </w:rPr>
              <w:t xml:space="preserve">definition </w:t>
            </w:r>
            <w:r w:rsidR="00CB62D9">
              <w:rPr>
                <w:rFonts w:ascii="Calibri" w:hAnsi="Calibri"/>
                <w:sz w:val="22"/>
                <w:szCs w:val="22"/>
              </w:rPr>
              <w:t xml:space="preserve">of the Major GPA and </w:t>
            </w:r>
            <w:r>
              <w:rPr>
                <w:rFonts w:ascii="Calibri" w:hAnsi="Calibri"/>
                <w:sz w:val="22"/>
                <w:szCs w:val="22"/>
              </w:rPr>
              <w:t xml:space="preserve">the Program </w:t>
            </w:r>
            <w:r w:rsidR="00CB62D9">
              <w:rPr>
                <w:rFonts w:ascii="Calibri" w:hAnsi="Calibri"/>
                <w:sz w:val="22"/>
                <w:szCs w:val="22"/>
              </w:rPr>
              <w:t>Standard GPA, as well as discrepancies in how Departments describe it in Degree Works, and the description in the Catalog.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CB62D9">
              <w:rPr>
                <w:rFonts w:ascii="Calibri" w:hAnsi="Calibri"/>
                <w:sz w:val="22"/>
                <w:szCs w:val="22"/>
              </w:rPr>
              <w:t>The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CB62D9">
              <w:rPr>
                <w:rFonts w:ascii="Calibri" w:hAnsi="Calibri"/>
                <w:sz w:val="22"/>
                <w:szCs w:val="22"/>
              </w:rPr>
              <w:t>June EPC Open S</w:t>
            </w:r>
            <w:r>
              <w:rPr>
                <w:rFonts w:ascii="Calibri" w:hAnsi="Calibri"/>
                <w:sz w:val="22"/>
                <w:szCs w:val="22"/>
              </w:rPr>
              <w:t>andwich Seminar w</w:t>
            </w:r>
            <w:r w:rsidR="00CB62D9">
              <w:rPr>
                <w:rFonts w:ascii="Calibri" w:hAnsi="Calibri"/>
                <w:sz w:val="22"/>
                <w:szCs w:val="22"/>
              </w:rPr>
              <w:t>as successful: good discussion and questions from faculty.</w:t>
            </w:r>
          </w:p>
          <w:p w14:paraId="66675E3F" w14:textId="074BDE7D" w:rsidR="00514439" w:rsidRPr="00514439" w:rsidRDefault="00CB62D9" w:rsidP="00514439">
            <w:pPr>
              <w:pStyle w:val="ListParagraph"/>
              <w:ind w:left="79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Committee discussed how to move forward with the definitions. With regard to the confusion around the Major GPA and the Program Standard GPA,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Delaune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suggested to call it Catalog Major GPA; Thomas indicated that there is an option to add a note in Degree Works, already done by several Departments “as noted for Major GPA in the catalog” </w:t>
            </w:r>
            <w:r w:rsidR="00514439">
              <w:rPr>
                <w:rFonts w:ascii="Calibri" w:hAnsi="Calibri"/>
                <w:sz w:val="22"/>
                <w:szCs w:val="22"/>
              </w:rPr>
              <w:t xml:space="preserve">. Discussion about grade point average and Departments should also look into how the Catalog defines Grade point average and Graduation Requirements, to ensure that is in line. </w:t>
            </w:r>
          </w:p>
          <w:p w14:paraId="2790F1F5" w14:textId="77777777" w:rsidR="002C242C" w:rsidRDefault="002C242C" w:rsidP="002C242C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Academic Forgiveness</w:t>
            </w:r>
          </w:p>
          <w:p w14:paraId="00BB2AC0" w14:textId="77777777" w:rsidR="002C242C" w:rsidRDefault="00514439" w:rsidP="002C242C">
            <w:pPr>
              <w:pStyle w:val="ListParagraph"/>
              <w:ind w:left="79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Check minutes of last meeting. </w:t>
            </w:r>
          </w:p>
          <w:p w14:paraId="3A1CAE9F" w14:textId="7963E1CD" w:rsidR="00514439" w:rsidRDefault="00514439" w:rsidP="00514439">
            <w:pPr>
              <w:pStyle w:val="ListParagraph"/>
              <w:ind w:left="792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Widdall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contacted Academic Standard Committee about changes to the Academic Forgiveness alterations suggested by the EPC. They do not think it is their responsibility: their focus is on returning, expelled students, while Academic Forgiveness applies to students not successful </w:t>
            </w:r>
            <w:r w:rsidR="00A1655B">
              <w:rPr>
                <w:rFonts w:ascii="Calibri" w:hAnsi="Calibri"/>
                <w:sz w:val="22"/>
                <w:szCs w:val="22"/>
              </w:rPr>
              <w:t xml:space="preserve">in particular areas who </w:t>
            </w:r>
            <w:r>
              <w:rPr>
                <w:rFonts w:ascii="Calibri" w:hAnsi="Calibri"/>
                <w:sz w:val="22"/>
                <w:szCs w:val="22"/>
              </w:rPr>
              <w:t xml:space="preserve">want to start over. </w:t>
            </w:r>
          </w:p>
          <w:p w14:paraId="07DA5FBA" w14:textId="6874EA11" w:rsidR="00A1655B" w:rsidRDefault="00A1655B" w:rsidP="00A1655B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Academic Grievance Committee: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Delaune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indicated that the process of an integrity case is different from the process of a grievance case. The appeal process language in the handbook is not clear, but changing some of the wording can clarify this. </w:t>
            </w:r>
          </w:p>
          <w:p w14:paraId="14ECFDF3" w14:textId="6D8C4AC1" w:rsidR="00A1655B" w:rsidRPr="00BA1951" w:rsidRDefault="00A1655B" w:rsidP="00514439">
            <w:pPr>
              <w:pStyle w:val="ListParagraph"/>
              <w:ind w:left="79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2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0A2AA8B9" w14:textId="77777777" w:rsidR="001D3114" w:rsidRDefault="001D3114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4AB78B7F" w14:textId="77777777" w:rsidR="00CB62D9" w:rsidRDefault="00CB62D9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112D50E7" w14:textId="77777777" w:rsidR="00CB62D9" w:rsidRDefault="00CB62D9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21CDF32D" w14:textId="77777777" w:rsidR="00CB62D9" w:rsidRDefault="00CB62D9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3AF1A7BC" w14:textId="77777777" w:rsidR="00CB62D9" w:rsidRDefault="00CB62D9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5871628F" w14:textId="77777777" w:rsidR="00CB62D9" w:rsidRDefault="00CB62D9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532C812C" w14:textId="77777777" w:rsidR="00CB62D9" w:rsidRDefault="00CB62D9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3DF13226" w14:textId="77777777" w:rsidR="00CB62D9" w:rsidRDefault="00CB62D9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35273D18" w14:textId="77777777" w:rsidR="00CB62D9" w:rsidRDefault="00CB62D9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186F4828" w14:textId="77777777" w:rsidR="00CB62D9" w:rsidRDefault="00CB62D9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4A57A788" w14:textId="77777777" w:rsidR="00CB62D9" w:rsidRDefault="00CB62D9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13471C1A" w14:textId="77777777" w:rsidR="00CB62D9" w:rsidRDefault="00CB62D9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3288701A" w14:textId="77777777" w:rsidR="00CB62D9" w:rsidRDefault="00514439" w:rsidP="00CB62D9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Doty will check the possibilities to add this note</w:t>
            </w:r>
          </w:p>
          <w:p w14:paraId="65AA5305" w14:textId="1BC43F2B" w:rsidR="00A1655B" w:rsidRDefault="00A1655B" w:rsidP="00A1655B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Widdall</w:t>
            </w:r>
            <w:proofErr w:type="spellEnd"/>
            <w:r w:rsidR="000613C1">
              <w:rPr>
                <w:rFonts w:ascii="Calibri" w:hAnsi="Calibri"/>
                <w:b/>
                <w:sz w:val="22"/>
                <w:szCs w:val="22"/>
              </w:rPr>
              <w:t xml:space="preserve"> also review.</w:t>
            </w:r>
          </w:p>
          <w:p w14:paraId="4DBA3C5F" w14:textId="1D0D6F33" w:rsidR="00A1655B" w:rsidRDefault="00A1655B" w:rsidP="00A1655B">
            <w:pPr>
              <w:ind w:left="72"/>
              <w:rPr>
                <w:rFonts w:ascii="Calibri" w:hAnsi="Calibri"/>
                <w:b/>
                <w:sz w:val="22"/>
                <w:szCs w:val="22"/>
              </w:rPr>
            </w:pPr>
          </w:p>
          <w:p w14:paraId="276FBCB0" w14:textId="77777777" w:rsidR="00A1655B" w:rsidRPr="00A1655B" w:rsidRDefault="00A1655B" w:rsidP="00A1655B">
            <w:pPr>
              <w:ind w:left="72"/>
              <w:rPr>
                <w:rFonts w:ascii="Calibri" w:hAnsi="Calibri"/>
                <w:b/>
                <w:sz w:val="22"/>
                <w:szCs w:val="22"/>
              </w:rPr>
            </w:pPr>
          </w:p>
          <w:p w14:paraId="15C46FDE" w14:textId="77777777" w:rsidR="00A1655B" w:rsidRDefault="00A1655B" w:rsidP="00A1655B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A1655B">
              <w:rPr>
                <w:rFonts w:ascii="Calibri" w:hAnsi="Calibri"/>
                <w:b/>
                <w:sz w:val="22"/>
                <w:szCs w:val="22"/>
              </w:rPr>
              <w:t>Widdall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will reformate our proposal</w:t>
            </w:r>
          </w:p>
          <w:p w14:paraId="51307593" w14:textId="77777777" w:rsidR="00A1655B" w:rsidRDefault="00A1655B" w:rsidP="00A1655B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Proposal will need to be send to Faculty Senate by September 25. </w:t>
            </w:r>
          </w:p>
          <w:p w14:paraId="451A4BC4" w14:textId="72EDA1C6" w:rsidR="00A1655B" w:rsidRDefault="000613C1" w:rsidP="00A1655B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Oct 2. To faculty senate.</w:t>
            </w:r>
            <w:bookmarkStart w:id="0" w:name="_GoBack"/>
            <w:bookmarkEnd w:id="0"/>
          </w:p>
          <w:p w14:paraId="2FE98F7D" w14:textId="7BAA152C" w:rsidR="00A1655B" w:rsidRDefault="00A1655B" w:rsidP="00A1655B">
            <w:pPr>
              <w:ind w:left="72"/>
              <w:rPr>
                <w:rFonts w:ascii="Calibri" w:hAnsi="Calibri"/>
                <w:b/>
                <w:sz w:val="22"/>
                <w:szCs w:val="22"/>
              </w:rPr>
            </w:pPr>
          </w:p>
          <w:p w14:paraId="46FB208A" w14:textId="77777777" w:rsidR="00A1655B" w:rsidRPr="00A1655B" w:rsidRDefault="00A1655B" w:rsidP="00A1655B">
            <w:pPr>
              <w:ind w:left="72"/>
              <w:rPr>
                <w:rFonts w:ascii="Calibri" w:hAnsi="Calibri"/>
                <w:b/>
                <w:sz w:val="22"/>
                <w:szCs w:val="22"/>
              </w:rPr>
            </w:pPr>
          </w:p>
          <w:p w14:paraId="62D707BA" w14:textId="08EEFEA0" w:rsidR="00A1655B" w:rsidRPr="00A1655B" w:rsidRDefault="00A1655B" w:rsidP="00A1655B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Delaune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will propose a language change to make the language more clear. </w:t>
            </w:r>
          </w:p>
        </w:tc>
      </w:tr>
      <w:tr w:rsidR="002C242C" w:rsidRPr="00506C33" w14:paraId="763A6892" w14:textId="77777777" w:rsidTr="00A1655B">
        <w:trPr>
          <w:trHeight w:val="430"/>
        </w:trPr>
        <w:tc>
          <w:tcPr>
            <w:tcW w:w="346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1634D93D" w14:textId="77777777" w:rsidR="00E64199" w:rsidRPr="000F1F2B" w:rsidRDefault="000F1F2B" w:rsidP="00C2626A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 w:rsidRPr="000F1F2B">
              <w:rPr>
                <w:rFonts w:ascii="Calibri" w:hAnsi="Calibri"/>
                <w:b/>
                <w:sz w:val="22"/>
                <w:szCs w:val="22"/>
              </w:rPr>
              <w:t xml:space="preserve">New Business </w:t>
            </w:r>
          </w:p>
        </w:tc>
        <w:tc>
          <w:tcPr>
            <w:tcW w:w="6681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0F0A28D7" w14:textId="15CB6E02" w:rsidR="00E64199" w:rsidRPr="00A1655B" w:rsidRDefault="00A1655B" w:rsidP="007A7C53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Van Der Karr</w:t>
            </w:r>
            <w:r w:rsidR="007A7C53">
              <w:rPr>
                <w:rFonts w:ascii="Calibri" w:hAnsi="Calibri"/>
                <w:sz w:val="22"/>
                <w:szCs w:val="22"/>
              </w:rPr>
              <w:t xml:space="preserve"> discussed the need for </w:t>
            </w:r>
            <w:r>
              <w:rPr>
                <w:rFonts w:ascii="Calibri" w:hAnsi="Calibri"/>
                <w:sz w:val="22"/>
                <w:szCs w:val="22"/>
              </w:rPr>
              <w:t xml:space="preserve">the </w:t>
            </w:r>
            <w:r w:rsidR="007A7C53">
              <w:rPr>
                <w:rFonts w:ascii="Calibri" w:hAnsi="Calibri"/>
                <w:sz w:val="22"/>
                <w:szCs w:val="22"/>
              </w:rPr>
              <w:t>EPC to look into how credits could lead to obtain</w:t>
            </w:r>
            <w:r>
              <w:rPr>
                <w:rFonts w:ascii="Calibri" w:hAnsi="Calibri"/>
                <w:sz w:val="22"/>
                <w:szCs w:val="22"/>
              </w:rPr>
              <w:t xml:space="preserve"> a Minor in a particular area. </w:t>
            </w:r>
            <w:r w:rsidR="007A7C53">
              <w:rPr>
                <w:rFonts w:ascii="Calibri" w:hAnsi="Calibri"/>
                <w:sz w:val="22"/>
                <w:szCs w:val="22"/>
              </w:rPr>
              <w:t xml:space="preserve">EPC will need to look into the definition of Concentration. </w:t>
            </w:r>
          </w:p>
        </w:tc>
        <w:tc>
          <w:tcPr>
            <w:tcW w:w="3921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4E3C3141" w14:textId="2A5A1F9F" w:rsidR="00E64199" w:rsidRPr="007A7C53" w:rsidRDefault="007A7C53" w:rsidP="007A7C53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Further discussion next meeting</w:t>
            </w:r>
          </w:p>
        </w:tc>
      </w:tr>
      <w:tr w:rsidR="002C242C" w:rsidRPr="00506C33" w14:paraId="27BFAC97" w14:textId="77777777" w:rsidTr="00A1655B">
        <w:trPr>
          <w:trHeight w:val="430"/>
        </w:trPr>
        <w:tc>
          <w:tcPr>
            <w:tcW w:w="346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39CAA0B3" w14:textId="6E12F6EB" w:rsidR="00E64199" w:rsidRPr="007A7C53" w:rsidRDefault="007A7C53" w:rsidP="00C2626A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 w:rsidRPr="007A7C53">
              <w:rPr>
                <w:rFonts w:ascii="Calibri" w:hAnsi="Calibri"/>
                <w:b/>
                <w:sz w:val="22"/>
                <w:szCs w:val="22"/>
              </w:rPr>
              <w:t xml:space="preserve">Adjourned </w:t>
            </w:r>
          </w:p>
        </w:tc>
        <w:tc>
          <w:tcPr>
            <w:tcW w:w="668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2D83D004" w14:textId="68C05DFB" w:rsidR="00E64199" w:rsidRDefault="007A7C53" w:rsidP="006A557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10:05</w:t>
            </w:r>
          </w:p>
        </w:tc>
        <w:tc>
          <w:tcPr>
            <w:tcW w:w="392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34CFECE4" w14:textId="77777777" w:rsidR="00E64199" w:rsidRPr="00506C33" w:rsidRDefault="00E64199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C242C" w:rsidRPr="00506C33" w14:paraId="3CE6D049" w14:textId="77777777" w:rsidTr="00A1655B">
        <w:trPr>
          <w:trHeight w:val="435"/>
        </w:trPr>
        <w:tc>
          <w:tcPr>
            <w:tcW w:w="346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7F4CD473" w14:textId="77777777" w:rsidR="00E64199" w:rsidRPr="00CD35AD" w:rsidRDefault="00E64199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681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417F3770" w14:textId="50784D09" w:rsidR="00E64199" w:rsidRDefault="007A7C53" w:rsidP="00C2626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Respectfully submitted by Maaike Oldemans</w:t>
            </w:r>
          </w:p>
        </w:tc>
        <w:tc>
          <w:tcPr>
            <w:tcW w:w="3921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487EA0AC" w14:textId="77777777" w:rsidR="00E64199" w:rsidRDefault="00E64199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7DD14646" w14:textId="77777777" w:rsidR="00F74A0A" w:rsidRDefault="00F74A0A" w:rsidP="00F708C3">
      <w:pPr>
        <w:ind w:right="-450"/>
        <w:jc w:val="right"/>
        <w:rPr>
          <w:rFonts w:ascii="Calibri" w:hAnsi="Calibri" w:cs="Arial"/>
          <w:sz w:val="22"/>
          <w:szCs w:val="22"/>
        </w:rPr>
      </w:pPr>
    </w:p>
    <w:p w14:paraId="6081EFC0" w14:textId="77777777" w:rsidR="00C2626A" w:rsidRDefault="00C2626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p w14:paraId="2FD1A8CC" w14:textId="77777777" w:rsidR="007C653D" w:rsidRPr="00F74A0A" w:rsidRDefault="007C653D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sectPr w:rsidR="007C653D" w:rsidRPr="00F74A0A" w:rsidSect="00E57F3A">
      <w:footerReference w:type="default" r:id="rId9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BD4AB" w14:textId="77777777" w:rsidR="0047767A" w:rsidRDefault="0047767A" w:rsidP="00097DBB">
      <w:r>
        <w:separator/>
      </w:r>
    </w:p>
  </w:endnote>
  <w:endnote w:type="continuationSeparator" w:id="0">
    <w:p w14:paraId="119ADDFE" w14:textId="77777777" w:rsidR="0047767A" w:rsidRDefault="0047767A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37DD2" w14:textId="77777777" w:rsidR="00E64199" w:rsidRPr="00E57F3A" w:rsidRDefault="00E64199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28304" w14:textId="77777777" w:rsidR="0047767A" w:rsidRDefault="0047767A" w:rsidP="00097DBB">
      <w:r>
        <w:separator/>
      </w:r>
    </w:p>
  </w:footnote>
  <w:footnote w:type="continuationSeparator" w:id="0">
    <w:p w14:paraId="20814E4B" w14:textId="77777777" w:rsidR="0047767A" w:rsidRDefault="0047767A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4786A"/>
    <w:multiLevelType w:val="hybridMultilevel"/>
    <w:tmpl w:val="B258475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446D522D"/>
    <w:multiLevelType w:val="hybridMultilevel"/>
    <w:tmpl w:val="D6309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8440A"/>
    <w:multiLevelType w:val="hybridMultilevel"/>
    <w:tmpl w:val="645EF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C51B7"/>
    <w:multiLevelType w:val="hybridMultilevel"/>
    <w:tmpl w:val="5BE27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4"/>
  </w:num>
  <w:num w:numId="5">
    <w:abstractNumId w:val="10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1"/>
  </w:num>
  <w:num w:numId="11">
    <w:abstractNumId w:val="13"/>
  </w:num>
  <w:num w:numId="12">
    <w:abstractNumId w:val="3"/>
  </w:num>
  <w:num w:numId="13">
    <w:abstractNumId w:val="11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4D"/>
    <w:rsid w:val="000034DD"/>
    <w:rsid w:val="00011527"/>
    <w:rsid w:val="00012B29"/>
    <w:rsid w:val="000202A2"/>
    <w:rsid w:val="00031D46"/>
    <w:rsid w:val="00033FA8"/>
    <w:rsid w:val="000345FC"/>
    <w:rsid w:val="00036F31"/>
    <w:rsid w:val="000376F2"/>
    <w:rsid w:val="00044C8A"/>
    <w:rsid w:val="0005569C"/>
    <w:rsid w:val="00056391"/>
    <w:rsid w:val="0006106B"/>
    <w:rsid w:val="000613C1"/>
    <w:rsid w:val="00076C92"/>
    <w:rsid w:val="000775DA"/>
    <w:rsid w:val="00093332"/>
    <w:rsid w:val="00096F72"/>
    <w:rsid w:val="00097DBB"/>
    <w:rsid w:val="000A660F"/>
    <w:rsid w:val="000B4F87"/>
    <w:rsid w:val="000B726A"/>
    <w:rsid w:val="000C662C"/>
    <w:rsid w:val="000D61B7"/>
    <w:rsid w:val="000D6D16"/>
    <w:rsid w:val="000D6E75"/>
    <w:rsid w:val="000E5D05"/>
    <w:rsid w:val="000E62A3"/>
    <w:rsid w:val="000F1F2B"/>
    <w:rsid w:val="00100921"/>
    <w:rsid w:val="001100A4"/>
    <w:rsid w:val="001115BD"/>
    <w:rsid w:val="001176D4"/>
    <w:rsid w:val="00126A5F"/>
    <w:rsid w:val="001306FE"/>
    <w:rsid w:val="00134932"/>
    <w:rsid w:val="0013531A"/>
    <w:rsid w:val="0013580B"/>
    <w:rsid w:val="001374F6"/>
    <w:rsid w:val="00151271"/>
    <w:rsid w:val="00155FD9"/>
    <w:rsid w:val="00160A2C"/>
    <w:rsid w:val="00160E0D"/>
    <w:rsid w:val="001657AF"/>
    <w:rsid w:val="00180148"/>
    <w:rsid w:val="001914D8"/>
    <w:rsid w:val="001A5FF4"/>
    <w:rsid w:val="001A7CB0"/>
    <w:rsid w:val="001B3599"/>
    <w:rsid w:val="001B6317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10B86"/>
    <w:rsid w:val="002232F9"/>
    <w:rsid w:val="00223E17"/>
    <w:rsid w:val="00227EE1"/>
    <w:rsid w:val="002302FD"/>
    <w:rsid w:val="0023474E"/>
    <w:rsid w:val="002419CB"/>
    <w:rsid w:val="00250838"/>
    <w:rsid w:val="00250CFE"/>
    <w:rsid w:val="00251ACE"/>
    <w:rsid w:val="002633F0"/>
    <w:rsid w:val="00265E93"/>
    <w:rsid w:val="0028210B"/>
    <w:rsid w:val="00286DE5"/>
    <w:rsid w:val="002917D0"/>
    <w:rsid w:val="00292BB9"/>
    <w:rsid w:val="00295542"/>
    <w:rsid w:val="002A1AEE"/>
    <w:rsid w:val="002A7027"/>
    <w:rsid w:val="002B3E17"/>
    <w:rsid w:val="002C242C"/>
    <w:rsid w:val="002C3F1F"/>
    <w:rsid w:val="002D28D7"/>
    <w:rsid w:val="002E0CB3"/>
    <w:rsid w:val="002E546B"/>
    <w:rsid w:val="002F11F6"/>
    <w:rsid w:val="002F16D0"/>
    <w:rsid w:val="002F256B"/>
    <w:rsid w:val="002F4C65"/>
    <w:rsid w:val="00303B21"/>
    <w:rsid w:val="00311BA6"/>
    <w:rsid w:val="00315FC1"/>
    <w:rsid w:val="00317230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71ADE"/>
    <w:rsid w:val="003731AA"/>
    <w:rsid w:val="003A03EA"/>
    <w:rsid w:val="003A47A2"/>
    <w:rsid w:val="003B03C3"/>
    <w:rsid w:val="003B56C6"/>
    <w:rsid w:val="003C25EE"/>
    <w:rsid w:val="003C35EE"/>
    <w:rsid w:val="003D09A9"/>
    <w:rsid w:val="003D3BB6"/>
    <w:rsid w:val="003D462B"/>
    <w:rsid w:val="003E7084"/>
    <w:rsid w:val="003F3B99"/>
    <w:rsid w:val="003F4B7D"/>
    <w:rsid w:val="003F77E7"/>
    <w:rsid w:val="004115BC"/>
    <w:rsid w:val="00424436"/>
    <w:rsid w:val="004255D3"/>
    <w:rsid w:val="00430C42"/>
    <w:rsid w:val="00433730"/>
    <w:rsid w:val="004376DF"/>
    <w:rsid w:val="00437733"/>
    <w:rsid w:val="0044146D"/>
    <w:rsid w:val="004514C6"/>
    <w:rsid w:val="00452CF9"/>
    <w:rsid w:val="0045318E"/>
    <w:rsid w:val="00453B34"/>
    <w:rsid w:val="00461DCA"/>
    <w:rsid w:val="004631AE"/>
    <w:rsid w:val="004678D2"/>
    <w:rsid w:val="0047030F"/>
    <w:rsid w:val="00472F4C"/>
    <w:rsid w:val="0047767A"/>
    <w:rsid w:val="004859F9"/>
    <w:rsid w:val="00485B9D"/>
    <w:rsid w:val="00490E04"/>
    <w:rsid w:val="004947E1"/>
    <w:rsid w:val="004A6E91"/>
    <w:rsid w:val="004A6FC1"/>
    <w:rsid w:val="004B300F"/>
    <w:rsid w:val="004C3AD1"/>
    <w:rsid w:val="004C409C"/>
    <w:rsid w:val="004C4FF6"/>
    <w:rsid w:val="004C6846"/>
    <w:rsid w:val="004C740F"/>
    <w:rsid w:val="004E136F"/>
    <w:rsid w:val="004E586C"/>
    <w:rsid w:val="004F5234"/>
    <w:rsid w:val="004F6C8D"/>
    <w:rsid w:val="0050076F"/>
    <w:rsid w:val="005064C3"/>
    <w:rsid w:val="00506C33"/>
    <w:rsid w:val="00514439"/>
    <w:rsid w:val="00531499"/>
    <w:rsid w:val="00536724"/>
    <w:rsid w:val="005374F9"/>
    <w:rsid w:val="005454A0"/>
    <w:rsid w:val="00551136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7094"/>
    <w:rsid w:val="005A6BD2"/>
    <w:rsid w:val="005A7E33"/>
    <w:rsid w:val="005C0ABA"/>
    <w:rsid w:val="005C2E04"/>
    <w:rsid w:val="005E22B4"/>
    <w:rsid w:val="005E24F3"/>
    <w:rsid w:val="005F5684"/>
    <w:rsid w:val="005F7DAC"/>
    <w:rsid w:val="00606567"/>
    <w:rsid w:val="00610904"/>
    <w:rsid w:val="00611F5E"/>
    <w:rsid w:val="006144D7"/>
    <w:rsid w:val="00615E2E"/>
    <w:rsid w:val="00617BEF"/>
    <w:rsid w:val="006317B4"/>
    <w:rsid w:val="0063581B"/>
    <w:rsid w:val="00635B6E"/>
    <w:rsid w:val="00641CEA"/>
    <w:rsid w:val="00644202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483B"/>
    <w:rsid w:val="006A5574"/>
    <w:rsid w:val="006B4CC3"/>
    <w:rsid w:val="006C6144"/>
    <w:rsid w:val="006D53C9"/>
    <w:rsid w:val="006E2CBF"/>
    <w:rsid w:val="006E55F2"/>
    <w:rsid w:val="006F4531"/>
    <w:rsid w:val="006F710A"/>
    <w:rsid w:val="006F7EC7"/>
    <w:rsid w:val="00703457"/>
    <w:rsid w:val="00705F3C"/>
    <w:rsid w:val="00711B60"/>
    <w:rsid w:val="00713C19"/>
    <w:rsid w:val="00716D47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1D7F"/>
    <w:rsid w:val="00757E6D"/>
    <w:rsid w:val="00760F1C"/>
    <w:rsid w:val="00767EB2"/>
    <w:rsid w:val="00775853"/>
    <w:rsid w:val="00783B86"/>
    <w:rsid w:val="00783DAF"/>
    <w:rsid w:val="00784F6C"/>
    <w:rsid w:val="00785D08"/>
    <w:rsid w:val="00787475"/>
    <w:rsid w:val="00791BFD"/>
    <w:rsid w:val="00796A46"/>
    <w:rsid w:val="00797B98"/>
    <w:rsid w:val="007A23AC"/>
    <w:rsid w:val="007A7C53"/>
    <w:rsid w:val="007B294D"/>
    <w:rsid w:val="007B70E2"/>
    <w:rsid w:val="007C2F3D"/>
    <w:rsid w:val="007C653D"/>
    <w:rsid w:val="007D4085"/>
    <w:rsid w:val="007D4579"/>
    <w:rsid w:val="007F4F03"/>
    <w:rsid w:val="007F5E2A"/>
    <w:rsid w:val="00805846"/>
    <w:rsid w:val="00813C2B"/>
    <w:rsid w:val="008269AB"/>
    <w:rsid w:val="008278C0"/>
    <w:rsid w:val="008413B6"/>
    <w:rsid w:val="008453B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80769"/>
    <w:rsid w:val="0089240B"/>
    <w:rsid w:val="008A0DD2"/>
    <w:rsid w:val="008B07E4"/>
    <w:rsid w:val="008B12C8"/>
    <w:rsid w:val="008B4774"/>
    <w:rsid w:val="008C216A"/>
    <w:rsid w:val="008D30E3"/>
    <w:rsid w:val="008D56C4"/>
    <w:rsid w:val="008D7724"/>
    <w:rsid w:val="008E07B0"/>
    <w:rsid w:val="008E0F12"/>
    <w:rsid w:val="008F1EC5"/>
    <w:rsid w:val="008F2CF2"/>
    <w:rsid w:val="008F38AC"/>
    <w:rsid w:val="008F4E33"/>
    <w:rsid w:val="00901653"/>
    <w:rsid w:val="00901FCA"/>
    <w:rsid w:val="00914B58"/>
    <w:rsid w:val="00935DBB"/>
    <w:rsid w:val="00947A20"/>
    <w:rsid w:val="00953B0A"/>
    <w:rsid w:val="009541A6"/>
    <w:rsid w:val="00954D7C"/>
    <w:rsid w:val="00955B71"/>
    <w:rsid w:val="00961DE2"/>
    <w:rsid w:val="00966DA3"/>
    <w:rsid w:val="00967F39"/>
    <w:rsid w:val="00990376"/>
    <w:rsid w:val="00993A42"/>
    <w:rsid w:val="00995AD4"/>
    <w:rsid w:val="009B42B0"/>
    <w:rsid w:val="009B67F6"/>
    <w:rsid w:val="009D0B8D"/>
    <w:rsid w:val="009D379F"/>
    <w:rsid w:val="009D7266"/>
    <w:rsid w:val="009F3CA7"/>
    <w:rsid w:val="00A01B44"/>
    <w:rsid w:val="00A071FA"/>
    <w:rsid w:val="00A12616"/>
    <w:rsid w:val="00A16277"/>
    <w:rsid w:val="00A1655B"/>
    <w:rsid w:val="00A17373"/>
    <w:rsid w:val="00A24505"/>
    <w:rsid w:val="00A2528D"/>
    <w:rsid w:val="00A26157"/>
    <w:rsid w:val="00A315C0"/>
    <w:rsid w:val="00A35D87"/>
    <w:rsid w:val="00A505B3"/>
    <w:rsid w:val="00A513EE"/>
    <w:rsid w:val="00A55A78"/>
    <w:rsid w:val="00A573C7"/>
    <w:rsid w:val="00A62DF7"/>
    <w:rsid w:val="00A6376F"/>
    <w:rsid w:val="00A65E0C"/>
    <w:rsid w:val="00A67DC3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C35A5"/>
    <w:rsid w:val="00AD335B"/>
    <w:rsid w:val="00AD4A4B"/>
    <w:rsid w:val="00AD67BD"/>
    <w:rsid w:val="00AE0C10"/>
    <w:rsid w:val="00AE3114"/>
    <w:rsid w:val="00AE4450"/>
    <w:rsid w:val="00AE4E47"/>
    <w:rsid w:val="00AF4509"/>
    <w:rsid w:val="00B01D98"/>
    <w:rsid w:val="00B12053"/>
    <w:rsid w:val="00B16238"/>
    <w:rsid w:val="00B21957"/>
    <w:rsid w:val="00B2424D"/>
    <w:rsid w:val="00B336FF"/>
    <w:rsid w:val="00B352FE"/>
    <w:rsid w:val="00B37B37"/>
    <w:rsid w:val="00B45B47"/>
    <w:rsid w:val="00B62571"/>
    <w:rsid w:val="00B66560"/>
    <w:rsid w:val="00B74988"/>
    <w:rsid w:val="00B77EC6"/>
    <w:rsid w:val="00B91202"/>
    <w:rsid w:val="00BA1951"/>
    <w:rsid w:val="00BB2F5F"/>
    <w:rsid w:val="00BB3F78"/>
    <w:rsid w:val="00BB5162"/>
    <w:rsid w:val="00BC1457"/>
    <w:rsid w:val="00BC3A16"/>
    <w:rsid w:val="00BD341F"/>
    <w:rsid w:val="00BD6DE4"/>
    <w:rsid w:val="00BD7E67"/>
    <w:rsid w:val="00BF1990"/>
    <w:rsid w:val="00BF7859"/>
    <w:rsid w:val="00BF7D49"/>
    <w:rsid w:val="00C03865"/>
    <w:rsid w:val="00C124F8"/>
    <w:rsid w:val="00C20440"/>
    <w:rsid w:val="00C24CA2"/>
    <w:rsid w:val="00C2626A"/>
    <w:rsid w:val="00C37260"/>
    <w:rsid w:val="00C441FF"/>
    <w:rsid w:val="00C44392"/>
    <w:rsid w:val="00C5277A"/>
    <w:rsid w:val="00C645F1"/>
    <w:rsid w:val="00C74920"/>
    <w:rsid w:val="00C87AA6"/>
    <w:rsid w:val="00C918B9"/>
    <w:rsid w:val="00CA020D"/>
    <w:rsid w:val="00CA375D"/>
    <w:rsid w:val="00CA7074"/>
    <w:rsid w:val="00CB3EBE"/>
    <w:rsid w:val="00CB62D9"/>
    <w:rsid w:val="00CC0853"/>
    <w:rsid w:val="00CC0D4E"/>
    <w:rsid w:val="00CC5178"/>
    <w:rsid w:val="00CD35AD"/>
    <w:rsid w:val="00CD5547"/>
    <w:rsid w:val="00CE04AC"/>
    <w:rsid w:val="00CE6764"/>
    <w:rsid w:val="00D07165"/>
    <w:rsid w:val="00D11A4D"/>
    <w:rsid w:val="00D21AD8"/>
    <w:rsid w:val="00D21BA8"/>
    <w:rsid w:val="00D26878"/>
    <w:rsid w:val="00D2744F"/>
    <w:rsid w:val="00D27686"/>
    <w:rsid w:val="00D3073F"/>
    <w:rsid w:val="00D34CDB"/>
    <w:rsid w:val="00D403CA"/>
    <w:rsid w:val="00D44E9E"/>
    <w:rsid w:val="00D50970"/>
    <w:rsid w:val="00D53525"/>
    <w:rsid w:val="00D61B92"/>
    <w:rsid w:val="00D6596C"/>
    <w:rsid w:val="00D72CC5"/>
    <w:rsid w:val="00D7458C"/>
    <w:rsid w:val="00D80CC2"/>
    <w:rsid w:val="00DA45DE"/>
    <w:rsid w:val="00DA7741"/>
    <w:rsid w:val="00DA7825"/>
    <w:rsid w:val="00DB1467"/>
    <w:rsid w:val="00DB1F95"/>
    <w:rsid w:val="00DC44BE"/>
    <w:rsid w:val="00DD192B"/>
    <w:rsid w:val="00DD73C4"/>
    <w:rsid w:val="00DE0F33"/>
    <w:rsid w:val="00DE45BF"/>
    <w:rsid w:val="00DF641B"/>
    <w:rsid w:val="00DF65E1"/>
    <w:rsid w:val="00DF6642"/>
    <w:rsid w:val="00E00605"/>
    <w:rsid w:val="00E01D4C"/>
    <w:rsid w:val="00E0247C"/>
    <w:rsid w:val="00E07F54"/>
    <w:rsid w:val="00E156C5"/>
    <w:rsid w:val="00E16481"/>
    <w:rsid w:val="00E26607"/>
    <w:rsid w:val="00E30046"/>
    <w:rsid w:val="00E3633A"/>
    <w:rsid w:val="00E57F3A"/>
    <w:rsid w:val="00E60E28"/>
    <w:rsid w:val="00E64199"/>
    <w:rsid w:val="00E66892"/>
    <w:rsid w:val="00E701BC"/>
    <w:rsid w:val="00E83EFF"/>
    <w:rsid w:val="00E863D1"/>
    <w:rsid w:val="00E87D8E"/>
    <w:rsid w:val="00E90177"/>
    <w:rsid w:val="00E96B53"/>
    <w:rsid w:val="00EA100B"/>
    <w:rsid w:val="00EA15CC"/>
    <w:rsid w:val="00EA225B"/>
    <w:rsid w:val="00EA37C3"/>
    <w:rsid w:val="00EA55E8"/>
    <w:rsid w:val="00EA5A91"/>
    <w:rsid w:val="00EC39AD"/>
    <w:rsid w:val="00EC4119"/>
    <w:rsid w:val="00EC6335"/>
    <w:rsid w:val="00ED3359"/>
    <w:rsid w:val="00ED6B18"/>
    <w:rsid w:val="00EE219F"/>
    <w:rsid w:val="00EE6C40"/>
    <w:rsid w:val="00EF3ED0"/>
    <w:rsid w:val="00F264BD"/>
    <w:rsid w:val="00F3041B"/>
    <w:rsid w:val="00F4027F"/>
    <w:rsid w:val="00F419A0"/>
    <w:rsid w:val="00F42CE4"/>
    <w:rsid w:val="00F440EE"/>
    <w:rsid w:val="00F51094"/>
    <w:rsid w:val="00F563FC"/>
    <w:rsid w:val="00F63F3D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EE0"/>
    <w:rsid w:val="00FA4BD6"/>
    <w:rsid w:val="00FD0315"/>
    <w:rsid w:val="00FD1761"/>
    <w:rsid w:val="00FE17D4"/>
    <w:rsid w:val="00FE6DD3"/>
    <w:rsid w:val="00FF042E"/>
    <w:rsid w:val="00FF2934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919F3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6B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6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162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162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3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hares\EP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2.cortland.edu/offices/publications/handbook/part-o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labman</cp:lastModifiedBy>
  <cp:revision>4</cp:revision>
  <cp:lastPrinted>2012-02-03T14:02:00Z</cp:lastPrinted>
  <dcterms:created xsi:type="dcterms:W3CDTF">2018-09-07T18:16:00Z</dcterms:created>
  <dcterms:modified xsi:type="dcterms:W3CDTF">2018-09-21T13:04:00Z</dcterms:modified>
</cp:coreProperties>
</file>